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75ED" w14:textId="4114BA68" w:rsidR="00047E3A" w:rsidRPr="007D6E81" w:rsidRDefault="008A3B2B" w:rsidP="008A3B2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D6E81">
        <w:rPr>
          <w:rFonts w:ascii="Times New Roman" w:hAnsi="Times New Roman" w:cs="Times New Roman"/>
          <w:i/>
          <w:iCs/>
          <w:sz w:val="24"/>
          <w:szCs w:val="24"/>
        </w:rPr>
        <w:t>проект резолютивної частини</w:t>
      </w:r>
    </w:p>
    <w:p w14:paraId="12AE0718" w14:textId="7199D5B0" w:rsidR="008A3B2B" w:rsidRPr="007D6E81" w:rsidRDefault="008A3B2B" w:rsidP="008A3B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E81">
        <w:rPr>
          <w:rFonts w:ascii="Times New Roman" w:hAnsi="Times New Roman" w:cs="Times New Roman"/>
          <w:sz w:val="24"/>
          <w:szCs w:val="24"/>
        </w:rPr>
        <w:t>Круглий стіл</w:t>
      </w:r>
    </w:p>
    <w:p w14:paraId="78BE1F2B" w14:textId="185F14CF" w:rsidR="008A3B2B" w:rsidRPr="007D6E81" w:rsidRDefault="008A3B2B" w:rsidP="008A3B2B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D6E8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6E81">
        <w:rPr>
          <w:rFonts w:ascii="Times New Roman" w:hAnsi="Times New Roman" w:cs="Times New Roman"/>
          <w:b/>
          <w:bCs/>
          <w:caps/>
          <w:sz w:val="24"/>
          <w:szCs w:val="24"/>
        </w:rPr>
        <w:t>Залізнична інфраструктура на території громади: перешкода чи шанс для розвитку?»</w:t>
      </w:r>
    </w:p>
    <w:p w14:paraId="5779A275" w14:textId="52738ECE" w:rsidR="008A3B2B" w:rsidRPr="007D6E81" w:rsidRDefault="008A3B2B" w:rsidP="008A3B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E81">
        <w:rPr>
          <w:rFonts w:ascii="Times New Roman" w:hAnsi="Times New Roman" w:cs="Times New Roman"/>
          <w:b/>
          <w:bCs/>
          <w:sz w:val="24"/>
          <w:szCs w:val="24"/>
        </w:rPr>
        <w:t>(м. Львів, 21 листопада 2025 року)</w:t>
      </w:r>
    </w:p>
    <w:p w14:paraId="517C059F" w14:textId="0ADA2062" w:rsidR="008A3B2B" w:rsidRPr="007D6E81" w:rsidRDefault="008A3B2B" w:rsidP="008A3B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81">
        <w:rPr>
          <w:rFonts w:ascii="Times New Roman" w:hAnsi="Times New Roman" w:cs="Times New Roman"/>
          <w:sz w:val="24"/>
          <w:szCs w:val="24"/>
        </w:rPr>
        <w:t>У результаті обговорення учасники круглого столу дійшли згоди щодо наступного: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3176"/>
        <w:gridCol w:w="1952"/>
      </w:tblGrid>
      <w:tr w:rsidR="007D6E81" w:rsidRPr="007D6E81" w14:paraId="776B782C" w14:textId="77777777" w:rsidTr="00144DFF">
        <w:tc>
          <w:tcPr>
            <w:tcW w:w="4355" w:type="pct"/>
            <w:vAlign w:val="center"/>
          </w:tcPr>
          <w:p w14:paraId="36AF32D3" w14:textId="2AA07FCF" w:rsidR="007D6E81" w:rsidRPr="007D6E81" w:rsidRDefault="007D6E81" w:rsidP="007D6E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Пропозиція</w:t>
            </w:r>
          </w:p>
        </w:tc>
        <w:tc>
          <w:tcPr>
            <w:tcW w:w="645" w:type="pct"/>
          </w:tcPr>
          <w:p w14:paraId="7A3DA0EA" w14:textId="7F9A5E6A" w:rsidR="00144DFF" w:rsidRPr="007D6E81" w:rsidRDefault="00144DFF" w:rsidP="00144D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голосування щодо включення у Резолюцію </w:t>
            </w:r>
            <w:r w:rsidRPr="00144D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(підтримую, не підтримую, утримуюсь)</w:t>
            </w:r>
          </w:p>
        </w:tc>
      </w:tr>
      <w:tr w:rsidR="007D6E81" w:rsidRPr="007D6E81" w14:paraId="71443A9E" w14:textId="77777777" w:rsidTr="00144DFF">
        <w:tc>
          <w:tcPr>
            <w:tcW w:w="4355" w:type="pct"/>
          </w:tcPr>
          <w:p w14:paraId="70EE23AC" w14:textId="398C419A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Впровадити європейські принципи </w:t>
            </w:r>
            <w:proofErr w:type="spellStart"/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тарифоутворення</w:t>
            </w:r>
            <w:proofErr w:type="spellEnd"/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залізничному транспорті. </w:t>
            </w: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обов’язкові послуги з доступу до інфраструктури має встановлюватися прозоро, на основі економічно обґрунтованих критеріїв, і застосовуватися 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недискримінаційно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– відповідно до вимог Директиви 2012/34/ЄС про єдиний європейський залізничний простір. Такий підхід сприятиме інтеграції української залізничної мережі в загальноєвропейську транспортну систему та забезпечить рівні правила гри для всіх учасників ринку.</w:t>
            </w:r>
          </w:p>
        </w:tc>
        <w:tc>
          <w:tcPr>
            <w:tcW w:w="645" w:type="pct"/>
          </w:tcPr>
          <w:p w14:paraId="7ADB68B4" w14:textId="1676114E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1AB31165" w14:textId="77777777" w:rsidTr="00144DFF">
        <w:tc>
          <w:tcPr>
            <w:tcW w:w="4355" w:type="pct"/>
          </w:tcPr>
          <w:p w14:paraId="6189C106" w14:textId="0EE4EC8D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Гарантувати рівний і недискримінаційний доступ операторів до інфраструктури.</w:t>
            </w: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 закріпити принцип рівних умов доступу до залізничної інфраструктури для всіх перевізників, незалежно від форми власності. Це одна з ключових умов розвитку конкуренції та залучення приватних інвестицій у галузь поряд із державною монополією. Дотримання принципу недискримінації також мінімізує ризики порушення антимонопольного законодавства і відповідає євроінтеграційним зобов’язанням України.</w:t>
            </w:r>
          </w:p>
        </w:tc>
        <w:tc>
          <w:tcPr>
            <w:tcW w:w="645" w:type="pct"/>
          </w:tcPr>
          <w:p w14:paraId="7CBEE64E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68F26F9F" w14:textId="77777777" w:rsidTr="00144DFF">
        <w:tc>
          <w:tcPr>
            <w:tcW w:w="4355" w:type="pct"/>
          </w:tcPr>
          <w:p w14:paraId="0C02A825" w14:textId="77777777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Формувати тарифну систему, що не створює бар’єрів для виходу на ринок. </w:t>
            </w:r>
          </w:p>
          <w:p w14:paraId="62AF0D95" w14:textId="5CF95D2B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Розмір і структура плати за доступ до колій повинні оптимізувати використання залізничної мережі та зберігати конкурентоспроможність залізничного транспорту. Забороняється запровадження надмірних надбавок (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mark-ups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) чи диференційованих коефіцієнтів, які можуть перешкоджати входженню нових перевізників на ринок або погіршувати позиції залізниці відносно інших видів транспорту. Добре продумана система тарифікації, навпаки, має стимулювати появу нових операторів і повніше завантажувати існуючу інфраструктуру на користь громадам і бізнесу.</w:t>
            </w:r>
          </w:p>
        </w:tc>
        <w:tc>
          <w:tcPr>
            <w:tcW w:w="645" w:type="pct"/>
          </w:tcPr>
          <w:p w14:paraId="70A8E850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2E48993F" w14:textId="77777777" w:rsidTr="00144DFF">
        <w:tc>
          <w:tcPr>
            <w:tcW w:w="4355" w:type="pct"/>
          </w:tcPr>
          <w:p w14:paraId="37B12218" w14:textId="418559E0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Розробити прозору методику розрахунку тарифу на доступ до інфраструктури.</w:t>
            </w: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має чітко визначати структуру собівартості послуг (прямі витрати, дозволені надбавки тощо) та забезпечувати врахування специфічних умов функціонування </w:t>
            </w:r>
            <w:r w:rsidRPr="007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української залізниці (в тому числі в період воєнного стану та повоєнного відновлення). В процесі розробки методики слід проводити консультації з усіма зацікавленими сторонами – центральними і місцевими органами влади, бізнес-спільнотою, громадами – щоб тарифна політика враховувала практичні потреби регіонального розвитку і була узгоджена з ринком. Ухвалення будь-яких змін тарифів має здійснюватися лише після відкритого обговорення та на основі об’єктивних даних, що забезпечить довіру користувачів і прозорість рішень.</w:t>
            </w:r>
          </w:p>
        </w:tc>
        <w:tc>
          <w:tcPr>
            <w:tcW w:w="645" w:type="pct"/>
          </w:tcPr>
          <w:p w14:paraId="2175CBD0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1203B0AB" w14:textId="77777777" w:rsidTr="00144DFF">
        <w:tc>
          <w:tcPr>
            <w:tcW w:w="4355" w:type="pct"/>
          </w:tcPr>
          <w:p w14:paraId="03BC2B41" w14:textId="77777777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Забезпечити баланс між тарифними доходами і державною підтримкою залізничної інфраструктури. </w:t>
            </w:r>
          </w:p>
          <w:p w14:paraId="322BD05E" w14:textId="25C2FB44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Для фінансової стійкості галузі необхідно поєднувати плату від операторів за користування коліями з прямим фінансуванням інфраструктури з державного бюджету. Оскільки інфраструктурні збори становлять значну частку витрат перевізників і прямо впливають на економіку перевезень та тарифи для споживачів, держава повинна брати участь у покритті витрат на утримання та розвиток залізничної мережі. Такий підхід відповідає європейській практиці і дозволить утримувати тарифи на прийнятному рівні, не перекладаючи весь фінансовий тягар на користувачів інфраструктури.</w:t>
            </w:r>
          </w:p>
        </w:tc>
        <w:tc>
          <w:tcPr>
            <w:tcW w:w="645" w:type="pct"/>
          </w:tcPr>
          <w:p w14:paraId="55E56EC1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0D06746E" w14:textId="77777777" w:rsidTr="00144DFF">
        <w:tc>
          <w:tcPr>
            <w:tcW w:w="4355" w:type="pct"/>
          </w:tcPr>
          <w:p w14:paraId="7C51778E" w14:textId="77777777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Впровадити дієвий механізм компенсації витрат на соціально важливі пасажирські перевезення. </w:t>
            </w:r>
          </w:p>
          <w:p w14:paraId="329D54E8" w14:textId="17348A42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Визнати, що пасажирські залізничні перевезення, які мають важливе соціальне значення для громади, не можуть повністю окупатися ринковими тарифами і потребують прозорого бюджетного 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дофінансування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. Модель, за якої збитки від пасажирських перевезень покривалися виключно за рахунок доходів від вантажних, себе вичерпала. Натомість держава повинна системно підтримувати такі перевезення через прямі субсидії з бюджету, що дозволить гарантувати базову мобільність населення та соціальну доступність транспортних послуг у регіонах. Пряме фінансування “суспільно важливих” маршрутів з державного і місцевих бюджетів є більш ефективним і справедливим, ніж перехресне субсидування, оскільки воно забезпечує прозорість та не спотворює ринок вантажних перевезень.</w:t>
            </w:r>
          </w:p>
        </w:tc>
        <w:tc>
          <w:tcPr>
            <w:tcW w:w="645" w:type="pct"/>
          </w:tcPr>
          <w:p w14:paraId="58CF1861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5F5627C9" w14:textId="77777777" w:rsidTr="00144DFF">
        <w:tc>
          <w:tcPr>
            <w:tcW w:w="4355" w:type="pct"/>
          </w:tcPr>
          <w:p w14:paraId="4D175B03" w14:textId="77777777" w:rsid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Запровадити практику довгострокових публічних контрактів на суспільно важливі перевезення (PSO).</w:t>
            </w:r>
          </w:p>
          <w:p w14:paraId="61818880" w14:textId="55A8BE8C" w:rsidR="007D6E81" w:rsidRP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Необхідно реалізувати європейський підхід 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Obligation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– укладання договорів між органами влади (замовниками перевезень) та перевізниками на виконання соціально важливих пасажирських маршрутів з визначенням рівня компенсації. Такі контракти мають укладатися на конкурсній або прозорій основі з чіткими показниками якості і регулярності перевезень. Довгострокові контракти на надання суспільно важливих транспортних послуг дозволять </w:t>
            </w:r>
            <w:proofErr w:type="spellStart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планомірно</w:t>
            </w:r>
            <w:proofErr w:type="spellEnd"/>
            <w:r w:rsidRPr="007D6E81">
              <w:rPr>
                <w:rFonts w:ascii="Times New Roman" w:hAnsi="Times New Roman" w:cs="Times New Roman"/>
                <w:sz w:val="24"/>
                <w:szCs w:val="24"/>
              </w:rPr>
              <w:t xml:space="preserve"> фінансувати пасажирське сполучення, встановлювати вимірювані цілі доступності та контролювати виконання зобов’язань перевізниками. Імплементація подібних світових норм контрактного фінансування і конкуренції за якість вже довела свою ефективність у країнах ЄС, тому Україна має використати цей досвід, не винаходячи “велосипед”, а адаптуючи перевірені механізми до національних реалій.</w:t>
            </w:r>
          </w:p>
        </w:tc>
        <w:tc>
          <w:tcPr>
            <w:tcW w:w="645" w:type="pct"/>
          </w:tcPr>
          <w:p w14:paraId="415E725D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81" w:rsidRPr="007D6E81" w14:paraId="7648FDD4" w14:textId="77777777" w:rsidTr="00144DFF">
        <w:tc>
          <w:tcPr>
            <w:tcW w:w="4355" w:type="pct"/>
          </w:tcPr>
          <w:p w14:paraId="3267A7F2" w14:textId="77777777" w:rsid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7D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Створити систему надання і фінансового відшкодування суспільно важливих транспортних послуг. </w:t>
            </w:r>
          </w:p>
          <w:p w14:paraId="1D0C8031" w14:textId="61B3338F" w:rsidR="007D6E81" w:rsidRDefault="007D6E81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E81">
              <w:rPr>
                <w:rFonts w:ascii="Times New Roman" w:hAnsi="Times New Roman" w:cs="Times New Roman"/>
                <w:sz w:val="24"/>
                <w:szCs w:val="24"/>
              </w:rPr>
              <w:t>На законодавчому та нормативному рівні слід розробити цілісну систему, яка визначає порядок організації соціально важливих перевезень, отримання оплати за такі послуги та компенсації, що виплачується перевізникам. Необхідно встановити чіткі правила і критерії, за якими визначаються маршрути, важливі для суспільства, та розмір субсидії для їх обслуговування. Така система має передбачати контроль за використанням коштів і недопущення надмірної компенсації, щоб державна підтримка була цільовою і ефективною. Одночасно слід гармонізувати умови надання транспортних послуг різними видами транспорту, щоби забезпечити чесну конкуренцію між залізницею, автоперевізниками тощо при виконанні соціальної функції.</w:t>
            </w:r>
          </w:p>
        </w:tc>
        <w:tc>
          <w:tcPr>
            <w:tcW w:w="645" w:type="pct"/>
          </w:tcPr>
          <w:p w14:paraId="039E9865" w14:textId="77777777" w:rsidR="007D6E81" w:rsidRPr="007D6E81" w:rsidRDefault="007D6E81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FF" w:rsidRPr="007D6E81" w14:paraId="259320EC" w14:textId="77777777" w:rsidTr="00144DFF">
        <w:tc>
          <w:tcPr>
            <w:tcW w:w="4355" w:type="pct"/>
          </w:tcPr>
          <w:p w14:paraId="1CDEE8EB" w14:textId="77777777" w:rsidR="00144DFF" w:rsidRDefault="00144DFF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9. </w:t>
            </w: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Розширити роль місцевих органів влади у забезпеченні соціально важливих перевезень. Делегувати повноваження щодо організації пасажирських перевезень на місцевому рівні відповідним обласним державним адміністраціям чи територіальним громадам – залежно від характеру маршруту та сполучення. </w:t>
            </w:r>
          </w:p>
          <w:p w14:paraId="3D723414" w14:textId="45A2E005" w:rsidR="00144DFF" w:rsidRDefault="00144DFF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sz w:val="24"/>
                <w:szCs w:val="24"/>
              </w:rPr>
              <w:t>Місцева влада спільно з Міністерством розвитку громад, територій та інфраструктури має визначати пріоритетні для громади залізничні маршрути (приміські, регіональні, міжнародні прикордонні тощо) і виступати замовником їх обслуговування. Передбачити механізми співфінансування цих перевезень з місцевих бюджетів за підтримки держави, що підвищить відповідальність та зацікавленість громад у розвитку залізничного сполучення. Такий підхід відповідає європейському досвіду децентралізації транспортних послуг і забезпечить більш тісну взаємодію між “Укрзалізницею”, перевізниками та громадами при плануванні розкладу і тарифів на місцеві перевезення.</w:t>
            </w:r>
          </w:p>
        </w:tc>
        <w:tc>
          <w:tcPr>
            <w:tcW w:w="645" w:type="pct"/>
          </w:tcPr>
          <w:p w14:paraId="6144C053" w14:textId="77777777" w:rsidR="00144DFF" w:rsidRPr="007D6E81" w:rsidRDefault="00144DFF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FF" w:rsidRPr="007D6E81" w14:paraId="237D3EDD" w14:textId="77777777" w:rsidTr="00144DFF">
        <w:tc>
          <w:tcPr>
            <w:tcW w:w="4355" w:type="pct"/>
          </w:tcPr>
          <w:p w14:paraId="17369620" w14:textId="77777777" w:rsidR="00144DFF" w:rsidRDefault="00144DFF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Забезпечити реалізацію напрацьованих рішень та подальшу координацію з центральною владою. </w:t>
            </w:r>
          </w:p>
          <w:p w14:paraId="6AE8536B" w14:textId="1478ED85" w:rsidR="00144DFF" w:rsidRDefault="00144DFF" w:rsidP="00144D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sz w:val="24"/>
                <w:szCs w:val="24"/>
              </w:rPr>
              <w:t>За підсумками круглого столу ухвалену резолюцію спрямувати до відповідних державних органів – Міністерства розвитку громад, територій та інфраструктури, АТ “Укрзалізниця”, профільного комітету Верховної Ради – для розгляду і врахування в роботі. Зокрема, запропоновані тут позиції слід використати при розробці офіційних рекомендацій щодо врахування норм європейського законодавства в методиці розрахунку тарифу на послуги з доступу до інфраструктури та формуванні механізму компенсації соціально важливих перевезень. Учасники круглого столу домовляються продовжувати діалог і моніторинг виконання цих рекомендацій, щоб залізнична інфраструктура перетворилася з перешкоди на реальний шанс для розвитку громад, бізнесу та країни в цілому.</w:t>
            </w:r>
          </w:p>
        </w:tc>
        <w:tc>
          <w:tcPr>
            <w:tcW w:w="645" w:type="pct"/>
          </w:tcPr>
          <w:p w14:paraId="6DD51B17" w14:textId="77777777" w:rsidR="00144DFF" w:rsidRPr="007D6E81" w:rsidRDefault="00144DFF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FF" w:rsidRPr="007D6E81" w14:paraId="031A31BF" w14:textId="77777777" w:rsidTr="00144DFF">
        <w:tc>
          <w:tcPr>
            <w:tcW w:w="4355" w:type="pct"/>
          </w:tcPr>
          <w:p w14:paraId="7271C22E" w14:textId="77777777" w:rsid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6042AD7B" w14:textId="77777777" w:rsid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5DA80EA9" w14:textId="77777777" w:rsid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0A47EF27" w14:textId="77777777" w:rsid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2447CD21" w14:textId="0F9D916C" w:rsid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</w:tcPr>
          <w:p w14:paraId="71952E32" w14:textId="77777777" w:rsidR="00144DFF" w:rsidRPr="007D6E81" w:rsidRDefault="00144DFF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FF" w:rsidRPr="007D6E81" w14:paraId="7CDBFEB4" w14:textId="77777777" w:rsidTr="00144DFF">
        <w:tc>
          <w:tcPr>
            <w:tcW w:w="4355" w:type="pct"/>
          </w:tcPr>
          <w:p w14:paraId="0D392608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6474C47D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6EA2E977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7AE3764F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22890F34" w14:textId="77777777" w:rsid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</w:tcPr>
          <w:p w14:paraId="7F18FE2D" w14:textId="77777777" w:rsidR="00144DFF" w:rsidRPr="007D6E81" w:rsidRDefault="00144DFF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FF" w:rsidRPr="007D6E81" w14:paraId="31FE9835" w14:textId="77777777" w:rsidTr="00144DFF">
        <w:tc>
          <w:tcPr>
            <w:tcW w:w="4355" w:type="pct"/>
          </w:tcPr>
          <w:p w14:paraId="57C96C22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654634C8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5163D417" w14:textId="7777777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2AE5516D" w14:textId="2540FC67" w:rsidR="00144DFF" w:rsidRPr="00144DFF" w:rsidRDefault="00144DFF" w:rsidP="0014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  <w:tc>
          <w:tcPr>
            <w:tcW w:w="645" w:type="pct"/>
          </w:tcPr>
          <w:p w14:paraId="3A719219" w14:textId="77777777" w:rsidR="00144DFF" w:rsidRPr="007D6E81" w:rsidRDefault="00144DFF" w:rsidP="008A3B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94470" w14:textId="726FC932" w:rsidR="00144DFF" w:rsidRPr="007D6E81" w:rsidRDefault="00144DFF" w:rsidP="008A3B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Учасник:_______________________________________________________</w:t>
      </w:r>
    </w:p>
    <w:sectPr w:rsidR="00144DFF" w:rsidRPr="007D6E81" w:rsidSect="008A3B2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4C"/>
    <w:rsid w:val="00036A18"/>
    <w:rsid w:val="00047E3A"/>
    <w:rsid w:val="0010337F"/>
    <w:rsid w:val="00144DFF"/>
    <w:rsid w:val="00781DFC"/>
    <w:rsid w:val="007D6E81"/>
    <w:rsid w:val="008A3B2B"/>
    <w:rsid w:val="009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D9DD"/>
  <w15:chartTrackingRefBased/>
  <w15:docId w15:val="{B5966185-ED2F-42B7-A6B0-81E3401E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1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94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A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911</Words>
  <Characters>8193</Characters>
  <Application>Microsoft Office Word</Application>
  <DocSecurity>0</DocSecurity>
  <Lines>115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Bolzhelarskyi</dc:creator>
  <cp:keywords/>
  <dc:description/>
  <cp:lastModifiedBy>Yaroslav Bolzhelarskyi</cp:lastModifiedBy>
  <cp:revision>3</cp:revision>
  <dcterms:created xsi:type="dcterms:W3CDTF">2025-11-21T05:19:00Z</dcterms:created>
  <dcterms:modified xsi:type="dcterms:W3CDTF">2025-11-21T06:11:00Z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6233ca4b-9181-4c95-8fd6-f0edcdb8568c</vt:lpwstr>
  </property>
</Properties>
</file>